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883D6" w14:textId="0B5E9048" w:rsidR="000971FB" w:rsidRDefault="00C228FF" w:rsidP="002E609E">
      <w:pPr>
        <w:pStyle w:val="Heading1"/>
        <w:spacing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Emergency and Crisis Management</w:t>
      </w:r>
      <w:r w:rsidR="00DB5BF8">
        <w:rPr>
          <w:sz w:val="40"/>
          <w:szCs w:val="40"/>
        </w:rPr>
        <w:t xml:space="preserve"> Policy</w:t>
      </w:r>
    </w:p>
    <w:p w14:paraId="591BC959" w14:textId="77777777" w:rsidR="002E609E" w:rsidRPr="002E609E" w:rsidRDefault="002E609E" w:rsidP="002E609E"/>
    <w:p w14:paraId="434EACD3" w14:textId="03D58CB7" w:rsidR="00D1233D" w:rsidRDefault="000971FB" w:rsidP="00C228FF">
      <w:pPr>
        <w:pStyle w:val="Heading2"/>
        <w:numPr>
          <w:ilvl w:val="0"/>
          <w:numId w:val="3"/>
        </w:numPr>
        <w:spacing w:line="240" w:lineRule="auto"/>
      </w:pPr>
      <w:r>
        <w:t>Audience</w:t>
      </w:r>
    </w:p>
    <w:p w14:paraId="4E5F570D" w14:textId="1F77F46B" w:rsidR="00F52C5B" w:rsidRDefault="000971FB" w:rsidP="00C228FF">
      <w:pPr>
        <w:spacing w:line="240" w:lineRule="auto"/>
      </w:pPr>
      <w:r>
        <w:t xml:space="preserve">This policy applies to </w:t>
      </w:r>
      <w:r w:rsidR="000A5A90" w:rsidRPr="000A5A90">
        <w:t xml:space="preserve">all staff, students, contractors and visitors to the </w:t>
      </w:r>
      <w:r w:rsidR="000A5A90">
        <w:t xml:space="preserve">Links Neighbourhood Centre (the Centre). </w:t>
      </w:r>
    </w:p>
    <w:p w14:paraId="46A0BCCE" w14:textId="77777777" w:rsidR="00084CBD" w:rsidRPr="00C228FF" w:rsidRDefault="00084CBD" w:rsidP="00C228FF">
      <w:pPr>
        <w:spacing w:line="240" w:lineRule="auto"/>
      </w:pPr>
    </w:p>
    <w:p w14:paraId="1E84FFCA" w14:textId="472E1694" w:rsidR="00D1233D" w:rsidRDefault="000971FB" w:rsidP="00C228FF">
      <w:pPr>
        <w:pStyle w:val="Heading2"/>
        <w:numPr>
          <w:ilvl w:val="0"/>
          <w:numId w:val="3"/>
        </w:numPr>
        <w:spacing w:line="240" w:lineRule="auto"/>
      </w:pPr>
      <w:r>
        <w:t xml:space="preserve">Purpose </w:t>
      </w:r>
    </w:p>
    <w:p w14:paraId="30246A4B" w14:textId="5334754D" w:rsidR="00634849" w:rsidRPr="00634849" w:rsidRDefault="00634849" w:rsidP="00C228FF">
      <w:pPr>
        <w:spacing w:line="240" w:lineRule="auto"/>
      </w:pPr>
      <w:r w:rsidRPr="00634849">
        <w:t xml:space="preserve">This Policy establishes the framework for the </w:t>
      </w:r>
      <w:r>
        <w:t>Centre to</w:t>
      </w:r>
      <w:r w:rsidRPr="00634849">
        <w:t>:</w:t>
      </w:r>
    </w:p>
    <w:p w14:paraId="71457C3B" w14:textId="2CF19AE5" w:rsidR="008F696E" w:rsidRDefault="001A4EEA" w:rsidP="00C228FF">
      <w:pPr>
        <w:pStyle w:val="Heading2"/>
        <w:numPr>
          <w:ilvl w:val="0"/>
          <w:numId w:val="7"/>
        </w:numPr>
        <w:spacing w:line="240" w:lineRule="auto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1A4EEA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establish a consistent framework for the management and reporting of incidents </w:t>
      </w:r>
    </w:p>
    <w:p w14:paraId="7925FA2D" w14:textId="2868B69A" w:rsidR="0067665A" w:rsidRDefault="00AC4C12" w:rsidP="00C228FF">
      <w:pPr>
        <w:pStyle w:val="Heading2"/>
        <w:numPr>
          <w:ilvl w:val="0"/>
          <w:numId w:val="7"/>
        </w:numPr>
        <w:spacing w:line="240" w:lineRule="auto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</w:rPr>
        <w:t>r</w:t>
      </w:r>
      <w:r w:rsidR="008F696E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ecognise </w:t>
      </w:r>
      <w:r w:rsidR="001A4EEA" w:rsidRPr="001A4EEA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that incidents that affect the people we assist and work with, or impact </w:t>
      </w:r>
      <w:r w:rsidR="0067665A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the Centre </w:t>
      </w:r>
      <w:r w:rsidR="001A4EEA" w:rsidRPr="001A4EEA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sites, systems, or business continuity, will occur and must be appropriately managed. </w:t>
      </w:r>
    </w:p>
    <w:p w14:paraId="2C1C71E9" w14:textId="09FF0BE5" w:rsidR="00D1233D" w:rsidRDefault="00AC4C12" w:rsidP="00C228FF">
      <w:pPr>
        <w:pStyle w:val="Heading2"/>
        <w:numPr>
          <w:ilvl w:val="0"/>
          <w:numId w:val="7"/>
        </w:numPr>
        <w:spacing w:line="240" w:lineRule="auto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</w:rPr>
        <w:t>id</w:t>
      </w:r>
      <w:r w:rsidR="001A4EEA" w:rsidRPr="001A4EEA">
        <w:rPr>
          <w:rFonts w:asciiTheme="minorHAnsi" w:eastAsiaTheme="minorHAnsi" w:hAnsiTheme="minorHAnsi" w:cstheme="minorBidi"/>
          <w:color w:val="auto"/>
          <w:sz w:val="22"/>
          <w:szCs w:val="22"/>
        </w:rPr>
        <w:t>entify, respond to, and manage incidents according to the approved procedure</w:t>
      </w:r>
    </w:p>
    <w:p w14:paraId="5356C640" w14:textId="7D2B4BFA" w:rsidR="00D1233D" w:rsidRPr="00F52C5B" w:rsidRDefault="00AC4C12" w:rsidP="00C228FF">
      <w:pPr>
        <w:pStyle w:val="Heading2"/>
        <w:numPr>
          <w:ilvl w:val="0"/>
          <w:numId w:val="7"/>
        </w:numPr>
        <w:spacing w:line="240" w:lineRule="auto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</w:rPr>
        <w:t>r</w:t>
      </w:r>
      <w:r w:rsidR="001A4EEA" w:rsidRPr="001A4EEA">
        <w:rPr>
          <w:rFonts w:asciiTheme="minorHAnsi" w:eastAsiaTheme="minorHAnsi" w:hAnsiTheme="minorHAnsi" w:cstheme="minorBidi"/>
          <w:color w:val="auto"/>
          <w:sz w:val="22"/>
          <w:szCs w:val="22"/>
        </w:rPr>
        <w:t>eport and record incidents appropriately.</w:t>
      </w:r>
    </w:p>
    <w:p w14:paraId="28FD1D73" w14:textId="7EC44FDE" w:rsidR="00F52C5B" w:rsidRDefault="001A4EEA" w:rsidP="00C228FF">
      <w:pPr>
        <w:pStyle w:val="Heading2"/>
        <w:spacing w:line="240" w:lineRule="auto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1A4EEA">
        <w:rPr>
          <w:rFonts w:asciiTheme="minorHAnsi" w:eastAsiaTheme="minorHAnsi" w:hAnsiTheme="minorHAnsi" w:cstheme="minorBidi"/>
          <w:color w:val="auto"/>
          <w:sz w:val="22"/>
          <w:szCs w:val="22"/>
        </w:rPr>
        <w:t>This policy and the appended procedures specify the processes for classifying, reporting, reviewing, investigating, and managing incidents</w:t>
      </w:r>
      <w:r w:rsidR="00ED3A8F">
        <w:rPr>
          <w:rFonts w:asciiTheme="minorHAnsi" w:eastAsiaTheme="minorHAnsi" w:hAnsiTheme="minorHAnsi" w:cstheme="minorBidi"/>
          <w:color w:val="auto"/>
          <w:sz w:val="22"/>
          <w:szCs w:val="22"/>
        </w:rPr>
        <w:t>.</w:t>
      </w:r>
    </w:p>
    <w:p w14:paraId="51C84B4F" w14:textId="77777777" w:rsidR="00084CBD" w:rsidRPr="00084CBD" w:rsidRDefault="00084CBD" w:rsidP="00084CBD"/>
    <w:p w14:paraId="3FA90BBF" w14:textId="56CC4DB5" w:rsidR="00D1233D" w:rsidRDefault="000E15AE" w:rsidP="00C228FF">
      <w:pPr>
        <w:pStyle w:val="Heading2"/>
        <w:numPr>
          <w:ilvl w:val="0"/>
          <w:numId w:val="3"/>
        </w:numPr>
        <w:spacing w:line="240" w:lineRule="auto"/>
      </w:pPr>
      <w:r>
        <w:t>Scope</w:t>
      </w:r>
    </w:p>
    <w:p w14:paraId="173ECB29" w14:textId="2897DD07" w:rsidR="00F52C5B" w:rsidRDefault="000E15AE" w:rsidP="00C228FF">
      <w:pPr>
        <w:spacing w:line="240" w:lineRule="auto"/>
      </w:pPr>
      <w:r>
        <w:t xml:space="preserve">This policy applies to incidents or any unplanned event, act, omission, or threat with the outcome of harm or potential for injury, damage, or loss to the people we assist, </w:t>
      </w:r>
      <w:r w:rsidR="00096AF6">
        <w:t>Centre staff</w:t>
      </w:r>
      <w:r>
        <w:t xml:space="preserve"> or members of the public</w:t>
      </w:r>
      <w:r w:rsidR="00096AF6">
        <w:t>.</w:t>
      </w:r>
      <w:r>
        <w:t xml:space="preserve"> </w:t>
      </w:r>
    </w:p>
    <w:p w14:paraId="27D872F0" w14:textId="77777777" w:rsidR="00084CBD" w:rsidRPr="00D1233D" w:rsidRDefault="00084CBD" w:rsidP="00C228FF">
      <w:pPr>
        <w:spacing w:line="240" w:lineRule="auto"/>
      </w:pPr>
    </w:p>
    <w:p w14:paraId="6C373554" w14:textId="76EF6ED2" w:rsidR="00D75A48" w:rsidRPr="00D75A48" w:rsidRDefault="00D75A48" w:rsidP="00C228FF">
      <w:pPr>
        <w:pStyle w:val="Heading2"/>
        <w:numPr>
          <w:ilvl w:val="0"/>
          <w:numId w:val="3"/>
        </w:numPr>
        <w:spacing w:line="240" w:lineRule="auto"/>
      </w:pPr>
      <w:r>
        <w:t>Responsibilities</w:t>
      </w:r>
    </w:p>
    <w:p w14:paraId="5E333CF4" w14:textId="6099AA2E" w:rsidR="00443F4E" w:rsidRPr="00443F4E" w:rsidRDefault="000971FB" w:rsidP="00C228FF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443F4E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Executives</w:t>
      </w:r>
      <w:r w:rsidR="00443F4E" w:rsidRPr="00443F4E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in consultation with key stakeholders, are responsible for the:</w:t>
      </w:r>
    </w:p>
    <w:p w14:paraId="6EB6428B" w14:textId="455AF54B" w:rsidR="00443F4E" w:rsidRPr="00443F4E" w:rsidRDefault="00443F4E" w:rsidP="00C228FF">
      <w:pPr>
        <w:pStyle w:val="ListParagraph"/>
        <w:numPr>
          <w:ilvl w:val="0"/>
          <w:numId w:val="1"/>
        </w:numPr>
        <w:spacing w:line="240" w:lineRule="auto"/>
      </w:pPr>
      <w:r w:rsidRPr="00443F4E">
        <w:t>ongoing development, review and implementation of this Policy, associated procedures and plan</w:t>
      </w:r>
      <w:r w:rsidR="0052285C">
        <w:t>s</w:t>
      </w:r>
    </w:p>
    <w:p w14:paraId="40822E4B" w14:textId="19F64789" w:rsidR="000971FB" w:rsidRDefault="00443F4E" w:rsidP="00C228FF">
      <w:pPr>
        <w:pStyle w:val="ListParagraph"/>
        <w:numPr>
          <w:ilvl w:val="0"/>
          <w:numId w:val="1"/>
        </w:numPr>
        <w:spacing w:line="240" w:lineRule="auto"/>
      </w:pPr>
      <w:r w:rsidRPr="00443F4E">
        <w:t>reviewing the availability and capability of resources, including people, systems and equipment to coordinate a response to an emergency or crisis.</w:t>
      </w:r>
    </w:p>
    <w:p w14:paraId="58B86917" w14:textId="77777777" w:rsidR="00084CBD" w:rsidRDefault="00084CBD" w:rsidP="00BE3B2F">
      <w:pPr>
        <w:pStyle w:val="ListParagraph"/>
        <w:spacing w:line="240" w:lineRule="auto"/>
      </w:pPr>
    </w:p>
    <w:p w14:paraId="144A97AA" w14:textId="77777777" w:rsidR="00BE3B2F" w:rsidRDefault="00BE3B2F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14:paraId="02B80321" w14:textId="660977EC" w:rsidR="00F52C5B" w:rsidRDefault="00F52C5B" w:rsidP="00C228FF">
      <w:pPr>
        <w:pStyle w:val="Heading2"/>
        <w:numPr>
          <w:ilvl w:val="0"/>
          <w:numId w:val="3"/>
        </w:numPr>
        <w:spacing w:line="240" w:lineRule="auto"/>
      </w:pPr>
      <w:r>
        <w:lastRenderedPageBreak/>
        <w:t>Priorities</w:t>
      </w:r>
    </w:p>
    <w:p w14:paraId="685CAEFA" w14:textId="137CE562" w:rsidR="00F52C5B" w:rsidRPr="00F30CD4" w:rsidRDefault="00F52C5B" w:rsidP="00C228FF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F30CD4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The</w:t>
      </w: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Centre </w:t>
      </w:r>
      <w:r w:rsidRPr="00F30CD4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takes an all-hazard, whole-of-</w:t>
      </w: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Centre</w:t>
      </w:r>
      <w:r w:rsidR="00C228FF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F30CD4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approach to emergency and crisis management. This</w:t>
      </w: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F30CD4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comprehensive approach incorporates prevention/mitigation, preparation, response, and recovery from emergencies and crises.</w:t>
      </w:r>
    </w:p>
    <w:p w14:paraId="580CAD70" w14:textId="63193D31" w:rsidR="00F52C5B" w:rsidRPr="00F30CD4" w:rsidRDefault="00F52C5B" w:rsidP="00C228FF">
      <w:pPr>
        <w:spacing w:after="120" w:line="240" w:lineRule="auto"/>
        <w:textAlignment w:val="baseline"/>
      </w:pPr>
      <w:r>
        <w:t xml:space="preserve">The Centre’s </w:t>
      </w:r>
      <w:r w:rsidRPr="00F30CD4">
        <w:t xml:space="preserve">priorities in any </w:t>
      </w:r>
      <w:r>
        <w:t>e</w:t>
      </w:r>
      <w:r w:rsidRPr="00F30CD4">
        <w:t xml:space="preserve">mergency or </w:t>
      </w:r>
      <w:r>
        <w:t>c</w:t>
      </w:r>
      <w:r w:rsidRPr="00F30CD4">
        <w:t>risis are to:</w:t>
      </w:r>
    </w:p>
    <w:p w14:paraId="79668F3B" w14:textId="77777777" w:rsidR="00F52C5B" w:rsidRPr="00F30CD4" w:rsidRDefault="00F52C5B" w:rsidP="00C228FF">
      <w:pPr>
        <w:numPr>
          <w:ilvl w:val="0"/>
          <w:numId w:val="10"/>
        </w:numPr>
        <w:spacing w:after="120" w:line="240" w:lineRule="auto"/>
        <w:textAlignment w:val="baseline"/>
      </w:pPr>
      <w:r w:rsidRPr="00F30CD4">
        <w:t>preserve life and avoid injury</w:t>
      </w:r>
    </w:p>
    <w:p w14:paraId="6E91B9B3" w14:textId="11714C03" w:rsidR="00F52C5B" w:rsidRDefault="00F52C5B" w:rsidP="00C228FF">
      <w:pPr>
        <w:numPr>
          <w:ilvl w:val="0"/>
          <w:numId w:val="10"/>
        </w:numPr>
        <w:spacing w:after="120" w:line="240" w:lineRule="auto"/>
        <w:textAlignment w:val="baseline"/>
      </w:pPr>
      <w:r w:rsidRPr="00F30CD4">
        <w:t xml:space="preserve">preserve the </w:t>
      </w:r>
      <w:r w:rsidR="00C228FF">
        <w:t>Centre’s</w:t>
      </w:r>
      <w:r w:rsidRPr="00F30CD4">
        <w:t xml:space="preserve"> brand, assets and operations</w:t>
      </w:r>
    </w:p>
    <w:p w14:paraId="678DFE30" w14:textId="77777777" w:rsidR="00F52C5B" w:rsidRPr="00F30CD4" w:rsidRDefault="00F52C5B" w:rsidP="00C228FF">
      <w:pPr>
        <w:numPr>
          <w:ilvl w:val="0"/>
          <w:numId w:val="10"/>
        </w:numPr>
        <w:spacing w:after="120" w:line="240" w:lineRule="auto"/>
        <w:textAlignment w:val="baseline"/>
      </w:pPr>
      <w:r w:rsidRPr="00F30CD4">
        <w:t>return to business as usual as soon as practical</w:t>
      </w:r>
    </w:p>
    <w:p w14:paraId="4D5D6282" w14:textId="77777777" w:rsidR="00F52C5B" w:rsidRPr="00F30CD4" w:rsidRDefault="00F52C5B" w:rsidP="00C228FF">
      <w:pPr>
        <w:numPr>
          <w:ilvl w:val="0"/>
          <w:numId w:val="10"/>
        </w:numPr>
        <w:spacing w:after="120" w:line="240" w:lineRule="auto"/>
        <w:textAlignment w:val="baseline"/>
      </w:pPr>
      <w:r w:rsidRPr="00F30CD4">
        <w:t>minimise impact on the local community and environment</w:t>
      </w:r>
    </w:p>
    <w:p w14:paraId="2CF9B596" w14:textId="13279A7B" w:rsidR="00F52C5B" w:rsidRDefault="00F52C5B" w:rsidP="00C228FF">
      <w:pPr>
        <w:numPr>
          <w:ilvl w:val="0"/>
          <w:numId w:val="10"/>
        </w:numPr>
        <w:spacing w:after="120" w:line="240" w:lineRule="auto"/>
        <w:textAlignment w:val="baseline"/>
      </w:pPr>
      <w:r w:rsidRPr="00F30CD4">
        <w:t>support, where possible, local community emergency response.</w:t>
      </w:r>
    </w:p>
    <w:p w14:paraId="223D515C" w14:textId="77777777" w:rsidR="005E64AA" w:rsidRDefault="005E64AA" w:rsidP="005E64AA">
      <w:pPr>
        <w:spacing w:after="120" w:line="240" w:lineRule="auto"/>
        <w:ind w:left="720"/>
        <w:textAlignment w:val="baseline"/>
      </w:pPr>
    </w:p>
    <w:p w14:paraId="46F682C8" w14:textId="387D5CD4" w:rsidR="00C228FF" w:rsidRPr="00C228FF" w:rsidRDefault="00C228FF" w:rsidP="00C228FF">
      <w:pPr>
        <w:pStyle w:val="Heading2"/>
        <w:numPr>
          <w:ilvl w:val="0"/>
          <w:numId w:val="3"/>
        </w:numPr>
        <w:spacing w:line="240" w:lineRule="auto"/>
      </w:pPr>
      <w:r>
        <w:t>Policy principles</w:t>
      </w:r>
    </w:p>
    <w:p w14:paraId="50C24847" w14:textId="100F5998" w:rsidR="00F52C5B" w:rsidRDefault="00BA79BE" w:rsidP="00C228FF">
      <w:pPr>
        <w:spacing w:line="240" w:lineRule="auto"/>
      </w:pPr>
      <w:r>
        <w:t xml:space="preserve">The </w:t>
      </w:r>
      <w:r w:rsidR="00F52C5B">
        <w:t>Centre</w:t>
      </w:r>
      <w:r>
        <w:t xml:space="preserve"> has a duty of care and responsibility to the people we assist, </w:t>
      </w:r>
      <w:r w:rsidR="00F52C5B">
        <w:t>Centre</w:t>
      </w:r>
      <w:r>
        <w:t xml:space="preserve"> </w:t>
      </w:r>
      <w:r w:rsidR="00C228FF">
        <w:t>staff,</w:t>
      </w:r>
      <w:r>
        <w:t xml:space="preserve"> members of the public and regulatory and funding bodies to ensure that all incidents are managed promptly and appropriately. </w:t>
      </w:r>
    </w:p>
    <w:p w14:paraId="344D16F9" w14:textId="126351FE" w:rsidR="00F52C5B" w:rsidRDefault="00BA79BE" w:rsidP="00C228FF">
      <w:pPr>
        <w:spacing w:line="240" w:lineRule="auto"/>
      </w:pPr>
      <w:r>
        <w:t xml:space="preserve">The </w:t>
      </w:r>
      <w:r w:rsidR="00F52C5B">
        <w:t>Centre</w:t>
      </w:r>
      <w:r>
        <w:t xml:space="preserve"> will manage all incidents in a non-discriminatory, culturally appropriate, inclusive, and confidential manner. </w:t>
      </w:r>
    </w:p>
    <w:p w14:paraId="744B2EBD" w14:textId="36E10C99" w:rsidR="00F52C5B" w:rsidRDefault="00BA79BE" w:rsidP="00C228FF">
      <w:pPr>
        <w:spacing w:line="240" w:lineRule="auto"/>
      </w:pPr>
      <w:r>
        <w:t xml:space="preserve">The </w:t>
      </w:r>
      <w:r w:rsidR="00F52C5B">
        <w:t>Centre</w:t>
      </w:r>
      <w:r>
        <w:t xml:space="preserve"> will take a person-centred and trauma-informed approach to incident response, management, and investigations. </w:t>
      </w:r>
    </w:p>
    <w:p w14:paraId="703CE9A1" w14:textId="77777777" w:rsidR="00C228FF" w:rsidRDefault="00C228FF" w:rsidP="00C228FF">
      <w:pPr>
        <w:spacing w:line="240" w:lineRule="auto"/>
      </w:pPr>
      <w:r>
        <w:t>T</w:t>
      </w:r>
      <w:r w:rsidR="00BA79BE">
        <w:t xml:space="preserve">he </w:t>
      </w:r>
      <w:r w:rsidR="00F52C5B">
        <w:t>Centre</w:t>
      </w:r>
      <w:r w:rsidR="00BA79BE">
        <w:t xml:space="preserve"> will take reasonable steps to ensure that all </w:t>
      </w:r>
      <w:r>
        <w:t>stakeholders have</w:t>
      </w:r>
      <w:r w:rsidR="00BA79BE">
        <w:t xml:space="preserve"> access to information including:</w:t>
      </w:r>
    </w:p>
    <w:p w14:paraId="62729ED0" w14:textId="5A1EF229" w:rsidR="00C228FF" w:rsidRDefault="00BA79BE" w:rsidP="00C228FF">
      <w:pPr>
        <w:pStyle w:val="ListParagraph"/>
        <w:numPr>
          <w:ilvl w:val="0"/>
          <w:numId w:val="12"/>
        </w:numPr>
        <w:spacing w:line="240" w:lineRule="auto"/>
      </w:pPr>
      <w:r>
        <w:t>how to report an incident</w:t>
      </w:r>
    </w:p>
    <w:p w14:paraId="2046E4AB" w14:textId="2F80F4AE" w:rsidR="00C228FF" w:rsidRDefault="00BA79BE" w:rsidP="00C228FF">
      <w:pPr>
        <w:pStyle w:val="ListParagraph"/>
        <w:numPr>
          <w:ilvl w:val="0"/>
          <w:numId w:val="12"/>
        </w:numPr>
        <w:spacing w:line="240" w:lineRule="auto"/>
      </w:pPr>
      <w:r>
        <w:t xml:space="preserve">how the </w:t>
      </w:r>
      <w:r w:rsidR="00F52C5B">
        <w:t>Centre</w:t>
      </w:r>
      <w:r>
        <w:t xml:space="preserve">’s Incident Management system operates </w:t>
      </w:r>
    </w:p>
    <w:p w14:paraId="0EABFB02" w14:textId="53E8AD22" w:rsidR="00F52C5B" w:rsidRDefault="00BA79BE" w:rsidP="00C228FF">
      <w:pPr>
        <w:pStyle w:val="ListParagraph"/>
        <w:numPr>
          <w:ilvl w:val="0"/>
          <w:numId w:val="12"/>
        </w:numPr>
        <w:spacing w:line="240" w:lineRule="auto"/>
      </w:pPr>
      <w:r>
        <w:t xml:space="preserve">format of communication. </w:t>
      </w:r>
    </w:p>
    <w:p w14:paraId="3F5626B4" w14:textId="4647F8B8" w:rsidR="00F52C5B" w:rsidRDefault="00BA79BE" w:rsidP="00C228FF">
      <w:pPr>
        <w:spacing w:line="240" w:lineRule="auto"/>
      </w:pPr>
      <w:r>
        <w:t xml:space="preserve">The </w:t>
      </w:r>
      <w:r w:rsidR="00F52C5B">
        <w:t>Centre</w:t>
      </w:r>
      <w:r>
        <w:t xml:space="preserve"> is committed to a culture of safety and continuous improvement. The </w:t>
      </w:r>
      <w:r w:rsidR="00F52C5B">
        <w:t>Centre</w:t>
      </w:r>
      <w:r>
        <w:t xml:space="preserve"> will learn from incidents and identify opportunities to improve its operations and drive excellence in its activities, programs, and service provision. </w:t>
      </w:r>
    </w:p>
    <w:p w14:paraId="7012B55A" w14:textId="77777777" w:rsidR="00C228FF" w:rsidRPr="00C228FF" w:rsidRDefault="00C228FF" w:rsidP="00C228FF"/>
    <w:p w14:paraId="525E80DB" w14:textId="77777777" w:rsidR="00BE3B2F" w:rsidRDefault="00BE3B2F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14:paraId="5D271896" w14:textId="140657AF" w:rsidR="005920A2" w:rsidRPr="005920A2" w:rsidRDefault="000971FB" w:rsidP="00C228FF">
      <w:pPr>
        <w:pStyle w:val="Heading2"/>
        <w:numPr>
          <w:ilvl w:val="0"/>
          <w:numId w:val="3"/>
        </w:numPr>
        <w:spacing w:line="240" w:lineRule="auto"/>
      </w:pPr>
      <w:r>
        <w:t xml:space="preserve">Legislation </w:t>
      </w:r>
    </w:p>
    <w:p w14:paraId="1BA7AD3E" w14:textId="77777777" w:rsidR="005920A2" w:rsidRDefault="005920A2" w:rsidP="00C228FF">
      <w:pPr>
        <w:pStyle w:val="ListParagraph"/>
        <w:numPr>
          <w:ilvl w:val="0"/>
          <w:numId w:val="2"/>
        </w:numPr>
        <w:spacing w:line="240" w:lineRule="auto"/>
      </w:pPr>
      <w:r>
        <w:t>Aged Care Quality Standards and Aged Care Act 1997 (</w:t>
      </w:r>
      <w:proofErr w:type="spellStart"/>
      <w:r>
        <w:t>Cth</w:t>
      </w:r>
      <w:proofErr w:type="spellEnd"/>
      <w:r>
        <w:t xml:space="preserve">) </w:t>
      </w:r>
    </w:p>
    <w:p w14:paraId="3431A8EC" w14:textId="77777777" w:rsidR="005920A2" w:rsidRDefault="005920A2" w:rsidP="00C228FF">
      <w:pPr>
        <w:pStyle w:val="ListParagraph"/>
        <w:numPr>
          <w:ilvl w:val="0"/>
          <w:numId w:val="2"/>
        </w:numPr>
        <w:spacing w:line="240" w:lineRule="auto"/>
      </w:pPr>
      <w:r>
        <w:t xml:space="preserve">Children and Young Persons (Care and Protection) Act 1998 (NSW) </w:t>
      </w:r>
    </w:p>
    <w:p w14:paraId="2CA96C67" w14:textId="77777777" w:rsidR="005920A2" w:rsidRDefault="005920A2" w:rsidP="00C228FF">
      <w:pPr>
        <w:pStyle w:val="ListParagraph"/>
        <w:numPr>
          <w:ilvl w:val="0"/>
          <w:numId w:val="2"/>
        </w:numPr>
        <w:spacing w:line="240" w:lineRule="auto"/>
      </w:pPr>
      <w:r>
        <w:t xml:space="preserve">National Disability Insurance Scheme (NDIS) Act 2013 </w:t>
      </w:r>
    </w:p>
    <w:p w14:paraId="4997F9A6" w14:textId="77777777" w:rsidR="005920A2" w:rsidRDefault="005920A2" w:rsidP="00C228FF">
      <w:pPr>
        <w:pStyle w:val="ListParagraph"/>
        <w:numPr>
          <w:ilvl w:val="0"/>
          <w:numId w:val="2"/>
        </w:numPr>
        <w:spacing w:line="240" w:lineRule="auto"/>
      </w:pPr>
      <w:r>
        <w:t xml:space="preserve">Work Health and Safety Act 2011 (NSW) </w:t>
      </w:r>
    </w:p>
    <w:p w14:paraId="7FE84611" w14:textId="77777777" w:rsidR="005920A2" w:rsidRDefault="005920A2" w:rsidP="00C228FF">
      <w:pPr>
        <w:pStyle w:val="ListParagraph"/>
        <w:numPr>
          <w:ilvl w:val="0"/>
          <w:numId w:val="2"/>
        </w:numPr>
        <w:spacing w:line="240" w:lineRule="auto"/>
      </w:pPr>
      <w:r>
        <w:t>Workers Compensation Act 1987 No 70 (NSW)</w:t>
      </w:r>
    </w:p>
    <w:p w14:paraId="5D2B45AD" w14:textId="77777777" w:rsidR="005920A2" w:rsidRDefault="005920A2" w:rsidP="00C228FF">
      <w:pPr>
        <w:pStyle w:val="ListParagraph"/>
        <w:numPr>
          <w:ilvl w:val="0"/>
          <w:numId w:val="2"/>
        </w:numPr>
        <w:spacing w:line="240" w:lineRule="auto"/>
      </w:pPr>
      <w:r>
        <w:t>Work Health and Safety Codes of Practice</w:t>
      </w:r>
    </w:p>
    <w:p w14:paraId="779B9A70" w14:textId="77777777" w:rsidR="005E64AA" w:rsidRDefault="005E64AA" w:rsidP="00BE3B2F">
      <w:pPr>
        <w:spacing w:line="240" w:lineRule="auto"/>
      </w:pPr>
    </w:p>
    <w:p w14:paraId="1DCE0AAF" w14:textId="01C2FA0E" w:rsidR="005920A2" w:rsidRPr="005920A2" w:rsidRDefault="00DB5BF8" w:rsidP="00C228FF">
      <w:pPr>
        <w:pStyle w:val="Heading2"/>
        <w:numPr>
          <w:ilvl w:val="0"/>
          <w:numId w:val="3"/>
        </w:numPr>
        <w:spacing w:line="240" w:lineRule="auto"/>
      </w:pPr>
      <w:r>
        <w:t>Supporting Policies, Procedures and Plans</w:t>
      </w:r>
    </w:p>
    <w:p w14:paraId="4563AF89" w14:textId="2E9254E2" w:rsidR="006A7D71" w:rsidRDefault="00BB4550" w:rsidP="00C228FF">
      <w:pPr>
        <w:pStyle w:val="ListParagraph"/>
        <w:numPr>
          <w:ilvl w:val="0"/>
          <w:numId w:val="2"/>
        </w:numPr>
        <w:spacing w:line="240" w:lineRule="auto"/>
      </w:pPr>
      <w:r>
        <w:t>Code of Conduct</w:t>
      </w:r>
    </w:p>
    <w:p w14:paraId="2E206370" w14:textId="1C44B845" w:rsidR="006A7D71" w:rsidRDefault="00BB4550" w:rsidP="00C228FF">
      <w:pPr>
        <w:pStyle w:val="ListParagraph"/>
        <w:numPr>
          <w:ilvl w:val="0"/>
          <w:numId w:val="2"/>
        </w:numPr>
        <w:spacing w:line="240" w:lineRule="auto"/>
      </w:pPr>
      <w:r>
        <w:t xml:space="preserve">Client Centred Service Delivery Policy </w:t>
      </w:r>
    </w:p>
    <w:p w14:paraId="3AC93B9E" w14:textId="77777777" w:rsidR="006A7D71" w:rsidRDefault="00BB4550" w:rsidP="00C228FF">
      <w:pPr>
        <w:pStyle w:val="ListParagraph"/>
        <w:numPr>
          <w:ilvl w:val="0"/>
          <w:numId w:val="2"/>
        </w:numPr>
        <w:spacing w:line="240" w:lineRule="auto"/>
      </w:pPr>
      <w:r>
        <w:t>Feedback and Complaints Policy</w:t>
      </w:r>
    </w:p>
    <w:p w14:paraId="3124F1B4" w14:textId="77777777" w:rsidR="006A7D71" w:rsidRDefault="00BB4550" w:rsidP="00C228FF">
      <w:pPr>
        <w:pStyle w:val="ListParagraph"/>
        <w:numPr>
          <w:ilvl w:val="0"/>
          <w:numId w:val="2"/>
        </w:numPr>
        <w:spacing w:line="240" w:lineRule="auto"/>
      </w:pPr>
      <w:r>
        <w:t>Records Management Policy</w:t>
      </w:r>
    </w:p>
    <w:p w14:paraId="57DCA60E" w14:textId="77777777" w:rsidR="006A7D71" w:rsidRDefault="00BB4550" w:rsidP="00C228FF">
      <w:pPr>
        <w:pStyle w:val="ListParagraph"/>
        <w:numPr>
          <w:ilvl w:val="0"/>
          <w:numId w:val="2"/>
        </w:numPr>
        <w:spacing w:line="240" w:lineRule="auto"/>
      </w:pPr>
      <w:r>
        <w:t>Safeguarding Children and Young People Polic</w:t>
      </w:r>
      <w:r w:rsidR="006A7D71">
        <w:t>y</w:t>
      </w:r>
    </w:p>
    <w:p w14:paraId="1D4714A2" w14:textId="77777777" w:rsidR="006A7D71" w:rsidRDefault="00BB4550" w:rsidP="00C228FF">
      <w:pPr>
        <w:pStyle w:val="ListParagraph"/>
        <w:numPr>
          <w:ilvl w:val="0"/>
          <w:numId w:val="2"/>
        </w:numPr>
        <w:spacing w:line="240" w:lineRule="auto"/>
      </w:pPr>
      <w:r>
        <w:t>Trauma-Informed Care Policy</w:t>
      </w:r>
    </w:p>
    <w:p w14:paraId="66D40B1E" w14:textId="735254F6" w:rsidR="00BB4550" w:rsidRDefault="00BB4550" w:rsidP="00C228FF">
      <w:pPr>
        <w:pStyle w:val="ListParagraph"/>
        <w:numPr>
          <w:ilvl w:val="0"/>
          <w:numId w:val="2"/>
        </w:numPr>
        <w:spacing w:line="240" w:lineRule="auto"/>
      </w:pPr>
      <w:r>
        <w:t xml:space="preserve">Work Health and Safety Policy </w:t>
      </w:r>
    </w:p>
    <w:p w14:paraId="053397A1" w14:textId="77777777" w:rsidR="00DB5BF8" w:rsidRDefault="00DB5BF8" w:rsidP="00C228FF">
      <w:pPr>
        <w:spacing w:line="240" w:lineRule="auto"/>
        <w:ind w:left="360"/>
      </w:pPr>
    </w:p>
    <w:p w14:paraId="1345EE36" w14:textId="77777777" w:rsidR="00C228FF" w:rsidRDefault="00C228FF">
      <w:pPr>
        <w:spacing w:line="240" w:lineRule="auto"/>
        <w:ind w:left="360"/>
      </w:pPr>
    </w:p>
    <w:sectPr w:rsidR="00C228F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64995" w14:textId="77777777" w:rsidR="006149A8" w:rsidRDefault="006149A8" w:rsidP="00DB5BF8">
      <w:pPr>
        <w:spacing w:after="0" w:line="240" w:lineRule="auto"/>
      </w:pPr>
      <w:r>
        <w:separator/>
      </w:r>
    </w:p>
  </w:endnote>
  <w:endnote w:type="continuationSeparator" w:id="0">
    <w:p w14:paraId="794D6784" w14:textId="77777777" w:rsidR="006149A8" w:rsidRDefault="006149A8" w:rsidP="00DB5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30" w:type="dxa"/>
      <w:tblLayout w:type="fixed"/>
      <w:tblLook w:val="06A0" w:firstRow="1" w:lastRow="0" w:firstColumn="1" w:lastColumn="0" w:noHBand="1" w:noVBand="1"/>
    </w:tblPr>
    <w:tblGrid>
      <w:gridCol w:w="3110"/>
      <w:gridCol w:w="3110"/>
      <w:gridCol w:w="3110"/>
    </w:tblGrid>
    <w:tr w:rsidR="00F12FC1" w14:paraId="7A908325" w14:textId="77777777" w:rsidTr="00B94A00">
      <w:trPr>
        <w:trHeight w:val="300"/>
      </w:trPr>
      <w:tc>
        <w:tcPr>
          <w:tcW w:w="3110" w:type="dxa"/>
        </w:tcPr>
        <w:p w14:paraId="7998718B" w14:textId="77777777" w:rsidR="00F12FC1" w:rsidRDefault="00F12FC1" w:rsidP="00F12FC1">
          <w:pPr>
            <w:pStyle w:val="Header"/>
            <w:ind w:left="-115"/>
            <w:rPr>
              <w:sz w:val="18"/>
              <w:szCs w:val="18"/>
            </w:rPr>
          </w:pPr>
          <w:r w:rsidRPr="6A40BCC7">
            <w:rPr>
              <w:sz w:val="18"/>
              <w:szCs w:val="18"/>
            </w:rPr>
            <w:t>Links Neighbourhood Centre</w:t>
          </w:r>
        </w:p>
      </w:tc>
      <w:tc>
        <w:tcPr>
          <w:tcW w:w="3110" w:type="dxa"/>
        </w:tcPr>
        <w:p w14:paraId="6848E0A6" w14:textId="77777777" w:rsidR="00F12FC1" w:rsidRDefault="00F12FC1" w:rsidP="00F12FC1">
          <w:pPr>
            <w:pStyle w:val="Header"/>
            <w:jc w:val="center"/>
            <w:rPr>
              <w:sz w:val="18"/>
              <w:szCs w:val="18"/>
            </w:rPr>
          </w:pPr>
          <w:r w:rsidRPr="6A40BCC7">
            <w:rPr>
              <w:sz w:val="18"/>
              <w:szCs w:val="18"/>
            </w:rPr>
            <w:t>Agenda Template</w:t>
          </w:r>
        </w:p>
      </w:tc>
      <w:tc>
        <w:tcPr>
          <w:tcW w:w="3110" w:type="dxa"/>
        </w:tcPr>
        <w:p w14:paraId="4EDF2396" w14:textId="2BB9F190" w:rsidR="00F12FC1" w:rsidRDefault="00F12FC1" w:rsidP="00F12FC1">
          <w:pPr>
            <w:pStyle w:val="Header"/>
            <w:ind w:right="-115"/>
            <w:jc w:val="right"/>
            <w:rPr>
              <w:sz w:val="18"/>
              <w:szCs w:val="18"/>
            </w:rPr>
          </w:pPr>
          <w:r w:rsidRPr="6A40BCC7">
            <w:rPr>
              <w:sz w:val="18"/>
              <w:szCs w:val="18"/>
            </w:rPr>
            <w:t xml:space="preserve">03/04/2025 Version </w:t>
          </w:r>
          <w:r w:rsidR="002E609E">
            <w:rPr>
              <w:sz w:val="18"/>
              <w:szCs w:val="18"/>
            </w:rPr>
            <w:t>2.0</w:t>
          </w:r>
        </w:p>
        <w:p w14:paraId="6164FED1" w14:textId="77777777" w:rsidR="00F12FC1" w:rsidRDefault="00F12FC1" w:rsidP="00F12FC1">
          <w:pPr>
            <w:pStyle w:val="Header"/>
            <w:ind w:right="-115"/>
            <w:jc w:val="right"/>
            <w:rPr>
              <w:sz w:val="18"/>
              <w:szCs w:val="18"/>
            </w:rPr>
          </w:pPr>
        </w:p>
      </w:tc>
    </w:tr>
  </w:tbl>
  <w:p w14:paraId="04C6F386" w14:textId="0F34D9E9" w:rsidR="00DB5BF8" w:rsidRPr="00627DDE" w:rsidRDefault="00DB5BF8" w:rsidP="00DB5BF8">
    <w:pPr>
      <w:pStyle w:val="Footer"/>
      <w:rPr>
        <w:rFonts w:cs="Arial"/>
        <w:sz w:val="16"/>
        <w:szCs w:val="16"/>
      </w:rPr>
    </w:pPr>
  </w:p>
  <w:p w14:paraId="65B29777" w14:textId="77777777" w:rsidR="00DB5BF8" w:rsidRDefault="00DB5B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20934" w14:textId="77777777" w:rsidR="006149A8" w:rsidRDefault="006149A8" w:rsidP="00DB5BF8">
      <w:pPr>
        <w:spacing w:after="0" w:line="240" w:lineRule="auto"/>
      </w:pPr>
      <w:r>
        <w:separator/>
      </w:r>
    </w:p>
  </w:footnote>
  <w:footnote w:type="continuationSeparator" w:id="0">
    <w:p w14:paraId="60627A97" w14:textId="77777777" w:rsidR="006149A8" w:rsidRDefault="006149A8" w:rsidP="00DB5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15" w:type="dxa"/>
      <w:tblLayout w:type="fixed"/>
      <w:tblLook w:val="06A0" w:firstRow="1" w:lastRow="0" w:firstColumn="1" w:lastColumn="0" w:noHBand="1" w:noVBand="1"/>
    </w:tblPr>
    <w:tblGrid>
      <w:gridCol w:w="2756"/>
      <w:gridCol w:w="7359"/>
    </w:tblGrid>
    <w:tr w:rsidR="00BE3B2F" w:rsidRPr="00211447" w14:paraId="1819D2AD" w14:textId="77777777" w:rsidTr="00A11B78">
      <w:trPr>
        <w:trHeight w:val="300"/>
      </w:trPr>
      <w:tc>
        <w:tcPr>
          <w:tcW w:w="2552" w:type="dxa"/>
        </w:tcPr>
        <w:p w14:paraId="066C3581" w14:textId="77777777" w:rsidR="00BE3B2F" w:rsidRDefault="00BE3B2F" w:rsidP="00BE3B2F">
          <w:pPr>
            <w:ind w:left="-115"/>
            <w:rPr>
              <w:rFonts w:ascii="Calibri" w:eastAsia="Calibri" w:hAnsi="Calibri" w:cs="Calibri"/>
              <w:sz w:val="45"/>
              <w:szCs w:val="45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31B3FF4E" wp14:editId="61561F9C">
                <wp:simplePos x="0" y="0"/>
                <wp:positionH relativeFrom="column">
                  <wp:posOffset>-68580</wp:posOffset>
                </wp:positionH>
                <wp:positionV relativeFrom="paragraph">
                  <wp:posOffset>0</wp:posOffset>
                </wp:positionV>
                <wp:extent cx="1447800" cy="1229613"/>
                <wp:effectExtent l="0" t="0" r="0" b="0"/>
                <wp:wrapTight wrapText="bothSides">
                  <wp:wrapPolygon edited="0">
                    <wp:start x="9379" y="669"/>
                    <wp:lineTo x="3979" y="6025"/>
                    <wp:lineTo x="568" y="7364"/>
                    <wp:lineTo x="284" y="8702"/>
                    <wp:lineTo x="1705" y="12050"/>
                    <wp:lineTo x="1705" y="12384"/>
                    <wp:lineTo x="3695" y="17405"/>
                    <wp:lineTo x="3695" y="20083"/>
                    <wp:lineTo x="3979" y="20752"/>
                    <wp:lineTo x="17337" y="20752"/>
                    <wp:lineTo x="17905" y="17405"/>
                    <wp:lineTo x="19326" y="13388"/>
                    <wp:lineTo x="19042" y="12050"/>
                    <wp:lineTo x="21032" y="9037"/>
                    <wp:lineTo x="20747" y="7364"/>
                    <wp:lineTo x="17905" y="6360"/>
                    <wp:lineTo x="16484" y="4686"/>
                    <wp:lineTo x="11937" y="669"/>
                    <wp:lineTo x="9379" y="669"/>
                  </wp:wrapPolygon>
                </wp:wrapTight>
                <wp:docPr id="701158098" name="Picture 70115809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800" cy="1229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13" w:type="dxa"/>
        </w:tcPr>
        <w:p w14:paraId="004D54A8" w14:textId="77777777" w:rsidR="00BE3B2F" w:rsidRDefault="00BE3B2F" w:rsidP="00BE3B2F">
          <w:pPr>
            <w:pStyle w:val="Header"/>
            <w:ind w:left="-103" w:right="-720"/>
            <w:jc w:val="center"/>
            <w:rPr>
              <w:color w:val="4472C4" w:themeColor="accent1"/>
              <w:sz w:val="48"/>
              <w:szCs w:val="48"/>
            </w:rPr>
          </w:pPr>
        </w:p>
        <w:p w14:paraId="31B56CC0" w14:textId="77777777" w:rsidR="00BE3B2F" w:rsidRPr="00211447" w:rsidRDefault="00BE3B2F" w:rsidP="00BE3B2F">
          <w:pPr>
            <w:pStyle w:val="Header"/>
            <w:tabs>
              <w:tab w:val="clear" w:pos="4513"/>
            </w:tabs>
            <w:ind w:left="-103" w:right="-720"/>
            <w:rPr>
              <w:color w:val="4472C4" w:themeColor="accent1"/>
              <w:sz w:val="48"/>
              <w:szCs w:val="48"/>
            </w:rPr>
          </w:pPr>
          <w:r w:rsidRPr="6A40BCC7">
            <w:rPr>
              <w:color w:val="4472C4" w:themeColor="accent1"/>
              <w:sz w:val="48"/>
              <w:szCs w:val="48"/>
            </w:rPr>
            <w:t>Links Neighbourhood</w:t>
          </w:r>
          <w:r>
            <w:rPr>
              <w:color w:val="4472C4" w:themeColor="accent1"/>
              <w:sz w:val="48"/>
              <w:szCs w:val="48"/>
            </w:rPr>
            <w:t xml:space="preserve"> Cent</w:t>
          </w:r>
          <w:r w:rsidRPr="6A40BCC7">
            <w:rPr>
              <w:color w:val="4472C4" w:themeColor="accent1"/>
              <w:sz w:val="48"/>
              <w:szCs w:val="48"/>
            </w:rPr>
            <w:t>re</w:t>
          </w:r>
          <w:r w:rsidRPr="6A40BCC7">
            <w:rPr>
              <w:sz w:val="40"/>
              <w:szCs w:val="40"/>
            </w:rPr>
            <w:t xml:space="preserve"> </w:t>
          </w:r>
        </w:p>
      </w:tc>
    </w:tr>
  </w:tbl>
  <w:p w14:paraId="42EA62E1" w14:textId="25855074" w:rsidR="00DB5BF8" w:rsidRPr="00DB5BF8" w:rsidRDefault="00DB5BF8">
    <w:pPr>
      <w:pStyle w:val="Header"/>
      <w:rPr>
        <w:b/>
        <w:bCs/>
        <w:color w:val="385623" w:themeColor="accent6" w:themeShade="80"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7023C"/>
    <w:multiLevelType w:val="multilevel"/>
    <w:tmpl w:val="C4D6DB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37409C"/>
    <w:multiLevelType w:val="multilevel"/>
    <w:tmpl w:val="B9D0ED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BE57F3"/>
    <w:multiLevelType w:val="hybridMultilevel"/>
    <w:tmpl w:val="53CE94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F5362"/>
    <w:multiLevelType w:val="multilevel"/>
    <w:tmpl w:val="4C945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47302A"/>
    <w:multiLevelType w:val="hybridMultilevel"/>
    <w:tmpl w:val="CF3841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8328C"/>
    <w:multiLevelType w:val="hybridMultilevel"/>
    <w:tmpl w:val="A2E4860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35057F"/>
    <w:multiLevelType w:val="multilevel"/>
    <w:tmpl w:val="1D1C41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3E6181"/>
    <w:multiLevelType w:val="multilevel"/>
    <w:tmpl w:val="4C945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325068"/>
    <w:multiLevelType w:val="multilevel"/>
    <w:tmpl w:val="E904DF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E60E87"/>
    <w:multiLevelType w:val="multilevel"/>
    <w:tmpl w:val="4C945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A04BE8"/>
    <w:multiLevelType w:val="hybridMultilevel"/>
    <w:tmpl w:val="86DAD1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6D38E8"/>
    <w:multiLevelType w:val="hybridMultilevel"/>
    <w:tmpl w:val="D8D6462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A1C5F83"/>
    <w:multiLevelType w:val="multilevel"/>
    <w:tmpl w:val="F31048C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3423146">
    <w:abstractNumId w:val="10"/>
  </w:num>
  <w:num w:numId="2" w16cid:durableId="1780757890">
    <w:abstractNumId w:val="11"/>
  </w:num>
  <w:num w:numId="3" w16cid:durableId="1980642692">
    <w:abstractNumId w:val="5"/>
  </w:num>
  <w:num w:numId="4" w16cid:durableId="1797286725">
    <w:abstractNumId w:val="0"/>
  </w:num>
  <w:num w:numId="5" w16cid:durableId="1827892357">
    <w:abstractNumId w:val="12"/>
  </w:num>
  <w:num w:numId="6" w16cid:durableId="242758846">
    <w:abstractNumId w:val="4"/>
  </w:num>
  <w:num w:numId="7" w16cid:durableId="1087338758">
    <w:abstractNumId w:val="2"/>
  </w:num>
  <w:num w:numId="8" w16cid:durableId="380249074">
    <w:abstractNumId w:val="6"/>
  </w:num>
  <w:num w:numId="9" w16cid:durableId="1099563380">
    <w:abstractNumId w:val="8"/>
  </w:num>
  <w:num w:numId="10" w16cid:durableId="2090419718">
    <w:abstractNumId w:val="9"/>
  </w:num>
  <w:num w:numId="11" w16cid:durableId="1104349269">
    <w:abstractNumId w:val="1"/>
  </w:num>
  <w:num w:numId="12" w16cid:durableId="538469323">
    <w:abstractNumId w:val="3"/>
  </w:num>
  <w:num w:numId="13" w16cid:durableId="19870805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1FB"/>
    <w:rsid w:val="00084CBD"/>
    <w:rsid w:val="00096AF6"/>
    <w:rsid w:val="000971FB"/>
    <w:rsid w:val="000A5A90"/>
    <w:rsid w:val="000E15AE"/>
    <w:rsid w:val="000F5BE8"/>
    <w:rsid w:val="00144B68"/>
    <w:rsid w:val="001A4EEA"/>
    <w:rsid w:val="002568E2"/>
    <w:rsid w:val="00294B8B"/>
    <w:rsid w:val="002B4195"/>
    <w:rsid w:val="002E609E"/>
    <w:rsid w:val="003D620B"/>
    <w:rsid w:val="003E54CB"/>
    <w:rsid w:val="00443F4E"/>
    <w:rsid w:val="004E1C42"/>
    <w:rsid w:val="00501EC6"/>
    <w:rsid w:val="0052285C"/>
    <w:rsid w:val="00530E34"/>
    <w:rsid w:val="005920A2"/>
    <w:rsid w:val="005E64AA"/>
    <w:rsid w:val="006149A8"/>
    <w:rsid w:val="00634849"/>
    <w:rsid w:val="0067665A"/>
    <w:rsid w:val="006A7D71"/>
    <w:rsid w:val="007413F1"/>
    <w:rsid w:val="007A7196"/>
    <w:rsid w:val="008276B0"/>
    <w:rsid w:val="0084571A"/>
    <w:rsid w:val="00845E4E"/>
    <w:rsid w:val="008A5587"/>
    <w:rsid w:val="008F696E"/>
    <w:rsid w:val="00907306"/>
    <w:rsid w:val="00A3362A"/>
    <w:rsid w:val="00A5563F"/>
    <w:rsid w:val="00AC4C12"/>
    <w:rsid w:val="00B94A00"/>
    <w:rsid w:val="00BA79BE"/>
    <w:rsid w:val="00BB4550"/>
    <w:rsid w:val="00BE3B2F"/>
    <w:rsid w:val="00C02507"/>
    <w:rsid w:val="00C228FF"/>
    <w:rsid w:val="00C70351"/>
    <w:rsid w:val="00C968C1"/>
    <w:rsid w:val="00D1233D"/>
    <w:rsid w:val="00D5362D"/>
    <w:rsid w:val="00D75A48"/>
    <w:rsid w:val="00DB1E88"/>
    <w:rsid w:val="00DB5BF8"/>
    <w:rsid w:val="00DC0253"/>
    <w:rsid w:val="00E22453"/>
    <w:rsid w:val="00ED3A8F"/>
    <w:rsid w:val="00F12FC1"/>
    <w:rsid w:val="00F30CD4"/>
    <w:rsid w:val="00F52C5B"/>
    <w:rsid w:val="00F7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96E807"/>
  <w15:chartTrackingRefBased/>
  <w15:docId w15:val="{56C290FD-12EA-4CBA-B67D-54D65AEC1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A90"/>
  </w:style>
  <w:style w:type="paragraph" w:styleId="Heading1">
    <w:name w:val="heading 1"/>
    <w:basedOn w:val="Normal"/>
    <w:next w:val="Normal"/>
    <w:link w:val="Heading1Char"/>
    <w:uiPriority w:val="9"/>
    <w:qFormat/>
    <w:rsid w:val="000971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71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1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971F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0971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5B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5BF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B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BF8"/>
  </w:style>
  <w:style w:type="paragraph" w:styleId="Footer">
    <w:name w:val="footer"/>
    <w:basedOn w:val="Normal"/>
    <w:link w:val="FooterChar"/>
    <w:uiPriority w:val="99"/>
    <w:unhideWhenUsed/>
    <w:rsid w:val="00DB5B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BF8"/>
  </w:style>
  <w:style w:type="paragraph" w:styleId="NormalWeb">
    <w:name w:val="Normal (Web)"/>
    <w:basedOn w:val="Normal"/>
    <w:uiPriority w:val="99"/>
    <w:semiHidden/>
    <w:unhideWhenUsed/>
    <w:rsid w:val="00634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customStyle="1" w:styleId="enumerate">
    <w:name w:val="enumerate"/>
    <w:basedOn w:val="DefaultParagraphFont"/>
    <w:rsid w:val="00F30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6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Florie</dc:creator>
  <cp:keywords/>
  <dc:description/>
  <cp:lastModifiedBy>Karin Florie</cp:lastModifiedBy>
  <cp:revision>2</cp:revision>
  <cp:lastPrinted>2023-05-23T05:10:00Z</cp:lastPrinted>
  <dcterms:created xsi:type="dcterms:W3CDTF">2025-07-29T01:32:00Z</dcterms:created>
  <dcterms:modified xsi:type="dcterms:W3CDTF">2025-07-29T01:32:00Z</dcterms:modified>
</cp:coreProperties>
</file>